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E8" w:rsidRPr="004F60E8" w:rsidRDefault="004F60E8" w:rsidP="004F60E8">
      <w:pPr>
        <w:jc w:val="center"/>
        <w:rPr>
          <w:rFonts w:ascii="黑体" w:eastAsia="黑体" w:hAnsi="黑体"/>
          <w:sz w:val="32"/>
          <w:szCs w:val="32"/>
        </w:rPr>
      </w:pPr>
      <w:r w:rsidRPr="004F60E8">
        <w:rPr>
          <w:rFonts w:ascii="黑体" w:eastAsia="黑体" w:hAnsi="黑体"/>
          <w:sz w:val="32"/>
          <w:szCs w:val="32"/>
        </w:rPr>
        <w:t>《强筋健络  物流强国》视频简介</w:t>
      </w:r>
    </w:p>
    <w:p w:rsidR="00F6541A" w:rsidRDefault="004F60E8" w:rsidP="004F60E8">
      <w:pPr>
        <w:jc w:val="center"/>
      </w:pPr>
      <w:r w:rsidRPr="004F60E8">
        <w:rPr>
          <w:rFonts w:hint="eastAsia"/>
        </w:rPr>
        <w:t>北京物资学院</w:t>
      </w:r>
      <w:r w:rsidRPr="004F60E8">
        <w:t>-张建宝</w:t>
      </w:r>
    </w:p>
    <w:p w:rsidR="004F60E8" w:rsidRDefault="004F60E8" w:rsidP="004F60E8">
      <w:pPr>
        <w:widowControl/>
        <w:spacing w:line="50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</w:p>
    <w:p w:rsidR="004F60E8" w:rsidRPr="004F60E8" w:rsidRDefault="004F60E8" w:rsidP="004F60E8">
      <w:pPr>
        <w:widowControl/>
        <w:spacing w:line="50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课程主要围绕三个问题而展开。</w:t>
      </w:r>
    </w:p>
    <w:p w:rsidR="004F60E8" w:rsidRPr="004F60E8" w:rsidRDefault="004F60E8" w:rsidP="004F60E8">
      <w:pPr>
        <w:widowControl/>
        <w:spacing w:line="50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一是学习原典，深刻理解习近平总书记关于“物流是实体经济的筋络”这一重要论述。通过校园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食堂、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校园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配送中心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运转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背后的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场景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，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如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南菜北运、绿通机制、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中欧班列以及独步全球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的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远洋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港口建设，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引导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受众从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构建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国内大循环为主体、国内国际双循环相互促进的新发展格局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高度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深切理解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习近平总书记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重要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论述的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蕴意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。</w:t>
      </w:r>
    </w:p>
    <w:p w:rsidR="004F60E8" w:rsidRPr="004F60E8" w:rsidRDefault="004F60E8" w:rsidP="004F60E8">
      <w:pPr>
        <w:widowControl/>
        <w:spacing w:line="50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二是立足历史与现实的贯通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，整体把握我们党领导下物流事业的发展。以习近平总书记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大历史观为遵循，结合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主讲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教师本人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牵头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组织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“红色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物流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”主题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社会实践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——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从北京长辛店到郑州二七纪念馆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，主要是着眼于党创初期与大革命时期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；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从井冈山到瑞金及周边地区，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主要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着眼土地革命时期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；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从河北邢台到邯郸再到山西长治，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主要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着眼抗日战争时期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；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从徐州到辽宁锦州、丹东，主要是着眼解放战争与抗美援朝时期——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，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系统探索中国共产党领导下红色物流在不同历史时期的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披荆斩棘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；以及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从广度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、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速度和高度这三个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维度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把握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改革开放至今的物流腾飞。</w:t>
      </w:r>
    </w:p>
    <w:p w:rsidR="004F60E8" w:rsidRPr="004F60E8" w:rsidRDefault="004F60E8" w:rsidP="004F60E8">
      <w:pPr>
        <w:widowControl/>
        <w:spacing w:line="500" w:lineRule="exact"/>
        <w:ind w:firstLineChars="200" w:firstLine="560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三是着眼新征程，明晰物流强国的专业使命。以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习近平总书记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坚持问题导向，强化问题意识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的方法论为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指导，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引导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受众</w:t>
      </w:r>
      <w:bookmarkStart w:id="0" w:name="_GoBack"/>
      <w:bookmarkEnd w:id="0"/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面对物流提质增效的时代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呼唤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，主动站位，积极作为。</w:t>
      </w:r>
    </w:p>
    <w:p w:rsidR="004F60E8" w:rsidRPr="004F60E8" w:rsidRDefault="004F60E8" w:rsidP="004F60E8">
      <w:pPr>
        <w:widowControl/>
        <w:spacing w:afterLines="50" w:after="156" w:line="500" w:lineRule="exact"/>
        <w:ind w:firstLineChars="200" w:firstLine="560"/>
        <w:rPr>
          <w:rFonts w:ascii="Times New Roman" w:eastAsia="仿宋_GB2312" w:hAnsi="Times New Roman" w:cs="Times New Roman" w:hint="eastAsia"/>
          <w:kern w:val="0"/>
          <w:sz w:val="28"/>
          <w:szCs w:val="28"/>
        </w:rPr>
      </w:pP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课程紧扣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习近平总书记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关于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有效降低全社会物流成本的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重要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论述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、紧密结合北京物资学院因物资而生，因物流而兴的办学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特色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而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设计，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从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身边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场景出发，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逐层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提升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至“一带一路战略”和“以国内大循环为主体、国内国际双循环相互促进的新发展格局”高度</w:t>
      </w:r>
      <w:r w:rsidRPr="004F60E8">
        <w:rPr>
          <w:rFonts w:ascii="Times New Roman" w:eastAsia="仿宋_GB2312" w:hAnsi="Times New Roman" w:cs="Times New Roman"/>
          <w:kern w:val="0"/>
          <w:sz w:val="28"/>
          <w:szCs w:val="28"/>
        </w:rPr>
        <w:t>，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有效灌输深沉的“家国情怀”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，点亮受众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的“专业梦想”，进一步坚定专业报国的使命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感</w:t>
      </w:r>
      <w:r w:rsidRPr="004F60E8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！</w:t>
      </w:r>
    </w:p>
    <w:sectPr w:rsidR="004F60E8" w:rsidRPr="004F60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E8" w:rsidRDefault="004F60E8" w:rsidP="004F60E8">
      <w:r>
        <w:separator/>
      </w:r>
    </w:p>
  </w:endnote>
  <w:endnote w:type="continuationSeparator" w:id="0">
    <w:p w:rsidR="004F60E8" w:rsidRDefault="004F60E8" w:rsidP="004F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E8" w:rsidRDefault="004F60E8" w:rsidP="004F60E8">
      <w:r>
        <w:separator/>
      </w:r>
    </w:p>
  </w:footnote>
  <w:footnote w:type="continuationSeparator" w:id="0">
    <w:p w:rsidR="004F60E8" w:rsidRDefault="004F60E8" w:rsidP="004F6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D6"/>
    <w:rsid w:val="004F60E8"/>
    <w:rsid w:val="00D15AD6"/>
    <w:rsid w:val="00F6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AFAA35"/>
  <w15:chartTrackingRefBased/>
  <w15:docId w15:val="{4151FC91-076E-4B1F-B001-1D6D1950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60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6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60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565</Characters>
  <Application>Microsoft Office Word</Application>
  <DocSecurity>0</DocSecurity>
  <Lines>4</Lines>
  <Paragraphs>1</Paragraphs>
  <ScaleCrop>false</ScaleCrop>
  <Company>Lenovo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张建宝</dc:creator>
  <cp:keywords/>
  <dc:description/>
  <cp:lastModifiedBy>张建宝</cp:lastModifiedBy>
  <cp:revision>2</cp:revision>
  <dcterms:created xsi:type="dcterms:W3CDTF">2025-10-28T08:39:00Z</dcterms:created>
  <dcterms:modified xsi:type="dcterms:W3CDTF">2025-10-28T08:48:00Z</dcterms:modified>
</cp:coreProperties>
</file>